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6FEF9" w14:textId="250F48EB" w:rsidR="0059509E" w:rsidRPr="00FC2F5C" w:rsidRDefault="5C8DD92C" w:rsidP="41CF0C93">
      <w:pPr>
        <w:jc w:val="center"/>
      </w:pPr>
      <w:r w:rsidRPr="41CF0C93">
        <w:rPr>
          <w:rFonts w:ascii="Times New Roman" w:eastAsia="Times New Roman" w:hAnsi="Times New Roman" w:cs="Times New Roman"/>
          <w:b/>
          <w:bCs/>
          <w:sz w:val="28"/>
          <w:szCs w:val="28"/>
          <w:lang w:val="en-GB"/>
        </w:rPr>
        <w:t>Joint Statement of the Nordic-Baltic Countries on Energy Cooperation</w:t>
      </w:r>
    </w:p>
    <w:p w14:paraId="3C3C1F2F" w14:textId="7AC487A5"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 xml:space="preserve">We, the Ministers responsible for energy of Denmark, Estonia, Finland, Iceland, Latvia, Lithuania, Norway and Sweden, met in Tallinn, Estonia, on 04.09.2026 for the first NB8 Energy Ministers Meeting. </w:t>
      </w:r>
    </w:p>
    <w:p w14:paraId="26682DCF" w14:textId="38FECE42"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We reaffirm the importance of close Nordic-Baltic cooperation in strengthening energy security, ensuring affordable energy and supporting economic competitiveness. While our energy systems and national circumstances differ, we share an interest in a secure, resilient and well-functioning regional and European energy market.</w:t>
      </w:r>
    </w:p>
    <w:p w14:paraId="444C586D" w14:textId="2B602FB7"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We reaffirm our unwavering support for Ukraine’s independence, sovereignty and territorial integrity. We condemn Russia’s continued attacks against Ukraine’s civilian energy infrastructure, which deprive people of electricity, heating, water and other essential services.</w:t>
      </w:r>
    </w:p>
    <w:p w14:paraId="167943A1" w14:textId="1DC26835"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We underline the urgency of Ukraine’s preparations for winter 2026/2027. In accordance with our respective national decisions, procedures and capacities, we will continue coordinating and seek to mobilise further financial, in-kind and technical assistance through established mechanisms. We encourage the delivery of assistance that responds to priorities identified and validated by Ukraine and becomes operational when most needed.</w:t>
      </w:r>
      <w:r w:rsidR="00C92FF1" w:rsidRPr="00C92FF1">
        <w:rPr>
          <w:rFonts w:ascii="Times New Roman" w:eastAsia="Times New Roman" w:hAnsi="Times New Roman" w:cs="Times New Roman"/>
          <w:sz w:val="24"/>
          <w:szCs w:val="24"/>
          <w:lang w:val="en-GB"/>
        </w:rPr>
        <w:t xml:space="preserve"> We thank civil society actors for their solidarity with Ukraine, including fundraising efforts that enabled in-kind donations last winter, and encourage continued support this winter.</w:t>
      </w:r>
    </w:p>
    <w:p w14:paraId="73DB36F3" w14:textId="56C27B5A" w:rsidR="0059509E" w:rsidRPr="00FC2F5C" w:rsidRDefault="5C8DD92C" w:rsidP="41CF0C93">
      <w:pPr>
        <w:spacing w:line="257" w:lineRule="auto"/>
        <w:jc w:val="both"/>
      </w:pPr>
      <w:r w:rsidRPr="41CF0C93">
        <w:rPr>
          <w:rFonts w:ascii="Times New Roman" w:eastAsia="Times New Roman" w:hAnsi="Times New Roman" w:cs="Times New Roman"/>
          <w:sz w:val="24"/>
          <w:szCs w:val="24"/>
        </w:rPr>
        <w:t xml:space="preserve">We </w:t>
      </w:r>
      <w:proofErr w:type="spellStart"/>
      <w:r w:rsidRPr="41CF0C93">
        <w:rPr>
          <w:rFonts w:ascii="Times New Roman" w:eastAsia="Times New Roman" w:hAnsi="Times New Roman" w:cs="Times New Roman"/>
          <w:sz w:val="24"/>
          <w:szCs w:val="24"/>
        </w:rPr>
        <w:t>recognise</w:t>
      </w:r>
      <w:proofErr w:type="spellEnd"/>
      <w:r w:rsidRPr="41CF0C93">
        <w:rPr>
          <w:rFonts w:ascii="Times New Roman" w:eastAsia="Times New Roman" w:hAnsi="Times New Roman" w:cs="Times New Roman"/>
          <w:sz w:val="24"/>
          <w:szCs w:val="24"/>
        </w:rPr>
        <w:t xml:space="preserve"> Ukraine both as a partner requiring continued support and as a source of valuable operational experience in maintaining and restoring energy supply under sustained physical and cyberattacks.</w:t>
      </w:r>
      <w:r w:rsidR="00F41D75">
        <w:rPr>
          <w:rFonts w:ascii="Times New Roman" w:eastAsia="Times New Roman" w:hAnsi="Times New Roman" w:cs="Times New Roman"/>
          <w:sz w:val="24"/>
          <w:szCs w:val="24"/>
        </w:rPr>
        <w:t xml:space="preserve"> </w:t>
      </w:r>
      <w:r w:rsidR="00F41D75" w:rsidRPr="00A509AE">
        <w:rPr>
          <w:rFonts w:ascii="Times New Roman" w:eastAsia="Times New Roman" w:hAnsi="Times New Roman" w:cs="Times New Roman"/>
          <w:sz w:val="24"/>
          <w:szCs w:val="24"/>
        </w:rPr>
        <w:t>We see strong value in exchanging practical experience and best practices on protecting critical energy infrastructure</w:t>
      </w:r>
      <w:r w:rsidR="00B751D0">
        <w:rPr>
          <w:rFonts w:ascii="Times New Roman" w:eastAsia="Times New Roman" w:hAnsi="Times New Roman" w:cs="Times New Roman"/>
          <w:sz w:val="24"/>
          <w:szCs w:val="24"/>
        </w:rPr>
        <w:t xml:space="preserve"> within existing fora</w:t>
      </w:r>
      <w:r w:rsidR="00F41D75" w:rsidRPr="00A509AE">
        <w:rPr>
          <w:rFonts w:ascii="Times New Roman" w:eastAsia="Times New Roman" w:hAnsi="Times New Roman" w:cs="Times New Roman"/>
          <w:sz w:val="24"/>
          <w:szCs w:val="24"/>
        </w:rPr>
        <w:t>.</w:t>
      </w:r>
      <w:r w:rsidR="00F41D75">
        <w:rPr>
          <w:rFonts w:ascii="Times New Roman" w:eastAsia="Times New Roman" w:hAnsi="Times New Roman" w:cs="Times New Roman"/>
          <w:sz w:val="24"/>
          <w:szCs w:val="24"/>
        </w:rPr>
        <w:t xml:space="preserve"> </w:t>
      </w:r>
      <w:r w:rsidRPr="41CF0C93">
        <w:rPr>
          <w:rFonts w:ascii="Times New Roman" w:eastAsia="Times New Roman" w:hAnsi="Times New Roman" w:cs="Times New Roman"/>
          <w:sz w:val="24"/>
          <w:szCs w:val="24"/>
        </w:rPr>
        <w:t xml:space="preserve"> We underline that immediate assistance should, where possible, also strengthen the long-term resilience of Ukraine’s energy system</w:t>
      </w:r>
      <w:r w:rsidR="00F41D75">
        <w:rPr>
          <w:rFonts w:ascii="Times New Roman" w:eastAsia="Times New Roman" w:hAnsi="Times New Roman" w:cs="Times New Roman"/>
          <w:sz w:val="24"/>
          <w:szCs w:val="24"/>
        </w:rPr>
        <w:t>,</w:t>
      </w:r>
      <w:r w:rsidRPr="41CF0C93">
        <w:rPr>
          <w:rFonts w:ascii="Times New Roman" w:eastAsia="Times New Roman" w:hAnsi="Times New Roman" w:cs="Times New Roman"/>
          <w:sz w:val="24"/>
          <w:szCs w:val="24"/>
        </w:rPr>
        <w:t xml:space="preserve"> support its </w:t>
      </w:r>
      <w:r w:rsidR="00F41D75">
        <w:rPr>
          <w:rFonts w:ascii="Times New Roman" w:eastAsia="Times New Roman" w:hAnsi="Times New Roman" w:cs="Times New Roman"/>
          <w:sz w:val="24"/>
          <w:szCs w:val="24"/>
        </w:rPr>
        <w:t xml:space="preserve">decentralization and </w:t>
      </w:r>
      <w:r w:rsidRPr="41CF0C93">
        <w:rPr>
          <w:rFonts w:ascii="Times New Roman" w:eastAsia="Times New Roman" w:hAnsi="Times New Roman" w:cs="Times New Roman"/>
          <w:sz w:val="24"/>
          <w:szCs w:val="24"/>
        </w:rPr>
        <w:t>further integration into the European energy market</w:t>
      </w:r>
      <w:r w:rsidR="00332325">
        <w:rPr>
          <w:rFonts w:ascii="Times New Roman" w:eastAsia="Times New Roman" w:hAnsi="Times New Roman" w:cs="Times New Roman"/>
          <w:sz w:val="24"/>
          <w:szCs w:val="24"/>
        </w:rPr>
        <w:t xml:space="preserve">, </w:t>
      </w:r>
      <w:r w:rsidR="00332325" w:rsidRPr="007B75F4">
        <w:rPr>
          <w:rFonts w:ascii="Times New Roman" w:eastAsia="Times New Roman" w:hAnsi="Times New Roman" w:cs="Times New Roman"/>
          <w:sz w:val="24"/>
          <w:szCs w:val="24"/>
        </w:rPr>
        <w:t>in line with their NECP 2025-2030</w:t>
      </w:r>
      <w:r w:rsidRPr="007B75F4">
        <w:rPr>
          <w:rFonts w:ascii="Times New Roman" w:eastAsia="Times New Roman" w:hAnsi="Times New Roman" w:cs="Times New Roman"/>
          <w:sz w:val="24"/>
          <w:szCs w:val="24"/>
        </w:rPr>
        <w:t>.</w:t>
      </w:r>
    </w:p>
    <w:p w14:paraId="7BE4498F" w14:textId="332D8EF3" w:rsidR="0059509E" w:rsidRPr="00FC2F5C" w:rsidRDefault="5C8DD92C" w:rsidP="41CF0C93">
      <w:pPr>
        <w:spacing w:line="257" w:lineRule="auto"/>
        <w:jc w:val="both"/>
      </w:pPr>
      <w:r w:rsidRPr="41CF0C93">
        <w:rPr>
          <w:rFonts w:ascii="Times New Roman" w:eastAsia="Times New Roman" w:hAnsi="Times New Roman" w:cs="Times New Roman"/>
          <w:sz w:val="24"/>
          <w:szCs w:val="24"/>
        </w:rPr>
        <w:t>The protection of nuclear facilities in Ukraine is a matter of regional and international security. Nuclear facilities must never be attacked, threatened or used in ways that endanger nuclear safety or security. Russia’s war has created unprecedented risks, including repeated losses of off-site power, threats to physical integrity, pressure on operating personnel and disruptions to supply chains and emergency arrangements. As several European countries consider introducing or expanding nuclear energy, Ukraine’s experience shows that nuclear safety, security, resilience and emergency preparedness must remain central to Europe’s energy planning</w:t>
      </w:r>
      <w:r w:rsidR="00802D2B">
        <w:rPr>
          <w:rFonts w:ascii="Times New Roman" w:eastAsia="Times New Roman" w:hAnsi="Times New Roman" w:cs="Times New Roman"/>
          <w:sz w:val="24"/>
          <w:szCs w:val="24"/>
        </w:rPr>
        <w:t xml:space="preserve"> and implementation</w:t>
      </w:r>
      <w:r w:rsidRPr="41CF0C93">
        <w:rPr>
          <w:rFonts w:ascii="Times New Roman" w:eastAsia="Times New Roman" w:hAnsi="Times New Roman" w:cs="Times New Roman"/>
          <w:sz w:val="24"/>
          <w:szCs w:val="24"/>
        </w:rPr>
        <w:t>.</w:t>
      </w:r>
    </w:p>
    <w:p w14:paraId="390887C0" w14:textId="7E030648"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We expect the</w:t>
      </w:r>
      <w:r w:rsidR="00802D2B">
        <w:rPr>
          <w:rFonts w:ascii="Times New Roman" w:eastAsia="Times New Roman" w:hAnsi="Times New Roman" w:cs="Times New Roman"/>
          <w:sz w:val="24"/>
          <w:szCs w:val="24"/>
          <w:lang w:val="en-GB"/>
        </w:rPr>
        <w:t xml:space="preserve"> Ukraine Recovery</w:t>
      </w:r>
      <w:r w:rsidRPr="41CF0C93">
        <w:rPr>
          <w:rFonts w:ascii="Times New Roman" w:eastAsia="Times New Roman" w:hAnsi="Times New Roman" w:cs="Times New Roman"/>
          <w:sz w:val="24"/>
          <w:szCs w:val="24"/>
          <w:lang w:val="en-GB"/>
        </w:rPr>
        <w:t xml:space="preserve"> Conference</w:t>
      </w:r>
      <w:r w:rsidR="00802D2B">
        <w:rPr>
          <w:rFonts w:ascii="Times New Roman" w:eastAsia="Times New Roman" w:hAnsi="Times New Roman" w:cs="Times New Roman"/>
          <w:sz w:val="24"/>
          <w:szCs w:val="24"/>
          <w:lang w:val="en-GB"/>
        </w:rPr>
        <w:t xml:space="preserve"> 2027</w:t>
      </w:r>
      <w:r w:rsidRPr="41CF0C93">
        <w:rPr>
          <w:rFonts w:ascii="Times New Roman" w:eastAsia="Times New Roman" w:hAnsi="Times New Roman" w:cs="Times New Roman"/>
          <w:sz w:val="24"/>
          <w:szCs w:val="24"/>
          <w:lang w:val="en-GB"/>
        </w:rPr>
        <w:t xml:space="preserve"> to deliver concrete energy-sector outcomes, including investment-ready projects, stronger municipal resilience, mobilisation of</w:t>
      </w:r>
      <w:r w:rsidR="00802D2B">
        <w:rPr>
          <w:rFonts w:ascii="Times New Roman" w:eastAsia="Times New Roman" w:hAnsi="Times New Roman" w:cs="Times New Roman"/>
          <w:sz w:val="24"/>
          <w:szCs w:val="24"/>
          <w:lang w:val="en-GB"/>
        </w:rPr>
        <w:t xml:space="preserve"> additional</w:t>
      </w:r>
      <w:r w:rsidRPr="41CF0C93">
        <w:rPr>
          <w:rFonts w:ascii="Times New Roman" w:eastAsia="Times New Roman" w:hAnsi="Times New Roman" w:cs="Times New Roman"/>
          <w:sz w:val="24"/>
          <w:szCs w:val="24"/>
          <w:lang w:val="en-GB"/>
        </w:rPr>
        <w:t xml:space="preserve"> private capital and further integration of Ukraine into the European energy market.</w:t>
      </w:r>
    </w:p>
    <w:p w14:paraId="4D277C12" w14:textId="1E412D59"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 xml:space="preserve">We </w:t>
      </w:r>
      <w:r w:rsidR="000F75E7">
        <w:rPr>
          <w:rFonts w:ascii="Times New Roman" w:eastAsia="Times New Roman" w:hAnsi="Times New Roman" w:cs="Times New Roman"/>
          <w:sz w:val="24"/>
          <w:szCs w:val="24"/>
          <w:lang w:val="en-GB"/>
        </w:rPr>
        <w:t xml:space="preserve">reaffirm our </w:t>
      </w:r>
      <w:r w:rsidRPr="41CF0C93">
        <w:rPr>
          <w:rFonts w:ascii="Times New Roman" w:eastAsia="Times New Roman" w:hAnsi="Times New Roman" w:cs="Times New Roman"/>
          <w:sz w:val="24"/>
          <w:szCs w:val="24"/>
          <w:lang w:val="en-GB"/>
        </w:rPr>
        <w:t>commit</w:t>
      </w:r>
      <w:r w:rsidR="000F75E7">
        <w:rPr>
          <w:rFonts w:ascii="Times New Roman" w:eastAsia="Times New Roman" w:hAnsi="Times New Roman" w:cs="Times New Roman"/>
          <w:sz w:val="24"/>
          <w:szCs w:val="24"/>
          <w:lang w:val="en-GB"/>
        </w:rPr>
        <w:t>ment</w:t>
      </w:r>
      <w:r w:rsidRPr="41CF0C93">
        <w:rPr>
          <w:rFonts w:ascii="Times New Roman" w:eastAsia="Times New Roman" w:hAnsi="Times New Roman" w:cs="Times New Roman"/>
          <w:sz w:val="24"/>
          <w:szCs w:val="24"/>
          <w:lang w:val="en-GB"/>
        </w:rPr>
        <w:t xml:space="preserve"> to the protection of critical energy infrastructure in the Nordic-Baltic region that has been target of physical, cyber and hybrid threats. Recent incidents </w:t>
      </w:r>
      <w:r w:rsidRPr="41CF0C93">
        <w:rPr>
          <w:rFonts w:ascii="Times New Roman" w:eastAsia="Times New Roman" w:hAnsi="Times New Roman" w:cs="Times New Roman"/>
          <w:sz w:val="24"/>
          <w:szCs w:val="24"/>
          <w:lang w:val="en-GB"/>
        </w:rPr>
        <w:lastRenderedPageBreak/>
        <w:t>involving underwater pipelines, electricity interconnectors and communications cables have</w:t>
      </w:r>
      <w:r w:rsidR="00182ECD">
        <w:rPr>
          <w:rFonts w:ascii="Times New Roman" w:eastAsia="Times New Roman" w:hAnsi="Times New Roman" w:cs="Times New Roman"/>
          <w:sz w:val="24"/>
          <w:szCs w:val="24"/>
          <w:lang w:val="en-GB"/>
        </w:rPr>
        <w:t xml:space="preserve"> further</w:t>
      </w:r>
      <w:r w:rsidRPr="41CF0C93">
        <w:rPr>
          <w:rFonts w:ascii="Times New Roman" w:eastAsia="Times New Roman" w:hAnsi="Times New Roman" w:cs="Times New Roman"/>
          <w:sz w:val="24"/>
          <w:szCs w:val="24"/>
          <w:lang w:val="en-GB"/>
        </w:rPr>
        <w:t xml:space="preserve"> demonstrated the need to </w:t>
      </w:r>
      <w:r w:rsidR="006E6E40">
        <w:rPr>
          <w:rFonts w:ascii="Times New Roman" w:eastAsia="Times New Roman" w:hAnsi="Times New Roman" w:cs="Times New Roman"/>
          <w:sz w:val="24"/>
          <w:szCs w:val="24"/>
          <w:lang w:val="en-GB"/>
        </w:rPr>
        <w:t>protect</w:t>
      </w:r>
      <w:r w:rsidRPr="41CF0C93">
        <w:rPr>
          <w:rFonts w:ascii="Times New Roman" w:eastAsia="Times New Roman" w:hAnsi="Times New Roman" w:cs="Times New Roman"/>
          <w:sz w:val="24"/>
          <w:szCs w:val="24"/>
          <w:lang w:val="en-GB"/>
        </w:rPr>
        <w:t xml:space="preserve"> infrastructure on which our societies depend.</w:t>
      </w:r>
    </w:p>
    <w:p w14:paraId="2155158A" w14:textId="48D7E620" w:rsidR="0059509E" w:rsidRPr="00FC2F5C" w:rsidRDefault="5C8DD92C" w:rsidP="41CF0C93">
      <w:pPr>
        <w:spacing w:line="257" w:lineRule="auto"/>
        <w:jc w:val="both"/>
      </w:pPr>
      <w:r w:rsidRPr="41CF0C93">
        <w:rPr>
          <w:rFonts w:ascii="Times New Roman" w:eastAsia="Times New Roman" w:hAnsi="Times New Roman" w:cs="Times New Roman"/>
          <w:sz w:val="24"/>
          <w:szCs w:val="24"/>
        </w:rPr>
        <w:t>We underline that the resilience of our energy systems depends not only on protecting individual assets, but also on maintaining essential functions, absorbing disruption and restoring supply rapidly. This requires sufficient redundancy, diversified supply routes, repair capacity, secure digital systems and effective mutual-assistance arrangements</w:t>
      </w:r>
      <w:r w:rsidR="006B5A79">
        <w:rPr>
          <w:rFonts w:ascii="Times New Roman" w:eastAsia="Times New Roman" w:hAnsi="Times New Roman" w:cs="Times New Roman"/>
          <w:sz w:val="24"/>
          <w:szCs w:val="24"/>
        </w:rPr>
        <w:t xml:space="preserve"> </w:t>
      </w:r>
      <w:r w:rsidR="006B5A79" w:rsidRPr="006B5A79">
        <w:rPr>
          <w:rFonts w:ascii="Times New Roman" w:eastAsia="Times New Roman" w:hAnsi="Times New Roman" w:cs="Times New Roman"/>
          <w:sz w:val="24"/>
          <w:szCs w:val="24"/>
        </w:rPr>
        <w:t>where appropriate and technically feasible</w:t>
      </w:r>
      <w:r w:rsidRPr="41CF0C93">
        <w:rPr>
          <w:rFonts w:ascii="Times New Roman" w:eastAsia="Times New Roman" w:hAnsi="Times New Roman" w:cs="Times New Roman"/>
          <w:sz w:val="24"/>
          <w:szCs w:val="24"/>
        </w:rPr>
        <w:t>.</w:t>
      </w:r>
    </w:p>
    <w:p w14:paraId="7F33CA0E" w14:textId="1E554DE7"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 xml:space="preserve">We welcome the Memorandum of Understanding on the Protection of Critical Undersea Infrastructure in the Baltic Sea, signed at </w:t>
      </w:r>
      <w:proofErr w:type="spellStart"/>
      <w:r w:rsidRPr="41CF0C93">
        <w:rPr>
          <w:rFonts w:ascii="Times New Roman" w:eastAsia="Times New Roman" w:hAnsi="Times New Roman" w:cs="Times New Roman"/>
          <w:sz w:val="24"/>
          <w:szCs w:val="24"/>
          <w:lang w:val="en-GB"/>
        </w:rPr>
        <w:t>Vihula</w:t>
      </w:r>
      <w:proofErr w:type="spellEnd"/>
      <w:r w:rsidRPr="41CF0C93">
        <w:rPr>
          <w:rFonts w:ascii="Times New Roman" w:eastAsia="Times New Roman" w:hAnsi="Times New Roman" w:cs="Times New Roman"/>
          <w:sz w:val="24"/>
          <w:szCs w:val="24"/>
          <w:lang w:val="en-GB"/>
        </w:rPr>
        <w:t xml:space="preserve"> on 16 May 2025. We </w:t>
      </w:r>
      <w:r w:rsidR="009C4D06">
        <w:rPr>
          <w:rFonts w:ascii="Times New Roman" w:eastAsia="Times New Roman" w:hAnsi="Times New Roman" w:cs="Times New Roman"/>
          <w:sz w:val="24"/>
          <w:szCs w:val="24"/>
          <w:lang w:val="en-GB"/>
        </w:rPr>
        <w:t>recall</w:t>
      </w:r>
      <w:r w:rsidRPr="41CF0C93">
        <w:rPr>
          <w:rFonts w:ascii="Times New Roman" w:eastAsia="Times New Roman" w:hAnsi="Times New Roman" w:cs="Times New Roman"/>
          <w:sz w:val="24"/>
          <w:szCs w:val="24"/>
          <w:lang w:val="en-GB"/>
        </w:rPr>
        <w:t xml:space="preserve"> the</w:t>
      </w:r>
      <w:r w:rsidR="00C92FF1">
        <w:rPr>
          <w:rFonts w:ascii="Times New Roman" w:eastAsia="Times New Roman" w:hAnsi="Times New Roman" w:cs="Times New Roman"/>
          <w:sz w:val="24"/>
          <w:szCs w:val="24"/>
          <w:lang w:val="en-GB"/>
        </w:rPr>
        <w:t xml:space="preserve"> voluntary</w:t>
      </w:r>
      <w:r w:rsidRPr="41CF0C93">
        <w:rPr>
          <w:rFonts w:ascii="Times New Roman" w:eastAsia="Times New Roman" w:hAnsi="Times New Roman" w:cs="Times New Roman"/>
          <w:sz w:val="24"/>
          <w:szCs w:val="24"/>
          <w:lang w:val="en-GB"/>
        </w:rPr>
        <w:t xml:space="preserve"> Joint Baltic Sea Expert Group established under the Memorandum. Its work should complement relevant national, Nordic,</w:t>
      </w:r>
      <w:r w:rsidR="00802D2B">
        <w:rPr>
          <w:rFonts w:ascii="Times New Roman" w:eastAsia="Times New Roman" w:hAnsi="Times New Roman" w:cs="Times New Roman"/>
          <w:sz w:val="24"/>
          <w:szCs w:val="24"/>
          <w:lang w:val="en-GB"/>
        </w:rPr>
        <w:t xml:space="preserve"> Baltic,</w:t>
      </w:r>
      <w:r w:rsidRPr="41CF0C93">
        <w:rPr>
          <w:rFonts w:ascii="Times New Roman" w:eastAsia="Times New Roman" w:hAnsi="Times New Roman" w:cs="Times New Roman"/>
          <w:sz w:val="24"/>
          <w:szCs w:val="24"/>
          <w:lang w:val="en-GB"/>
        </w:rPr>
        <w:t xml:space="preserve"> European Union and NATO initiatives and make effective use of available financing.</w:t>
      </w:r>
    </w:p>
    <w:p w14:paraId="3E3875EF" w14:textId="08F1C804"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 xml:space="preserve">We underline that </w:t>
      </w:r>
      <w:r w:rsidR="008768F5">
        <w:rPr>
          <w:rFonts w:ascii="Times New Roman" w:eastAsia="Times New Roman" w:hAnsi="Times New Roman" w:cs="Times New Roman"/>
          <w:sz w:val="24"/>
          <w:szCs w:val="24"/>
          <w:lang w:val="en-GB"/>
        </w:rPr>
        <w:t xml:space="preserve">the continued development of our energy </w:t>
      </w:r>
      <w:r w:rsidR="00B751D0">
        <w:rPr>
          <w:rFonts w:ascii="Times New Roman" w:eastAsia="Times New Roman" w:hAnsi="Times New Roman" w:cs="Times New Roman"/>
          <w:sz w:val="24"/>
          <w:szCs w:val="24"/>
          <w:lang w:val="en-GB"/>
        </w:rPr>
        <w:t>systems</w:t>
      </w:r>
      <w:r w:rsidR="008768F5">
        <w:rPr>
          <w:rFonts w:ascii="Times New Roman" w:eastAsia="Times New Roman" w:hAnsi="Times New Roman" w:cs="Times New Roman"/>
          <w:sz w:val="24"/>
          <w:szCs w:val="24"/>
          <w:lang w:val="en-GB"/>
        </w:rPr>
        <w:t xml:space="preserve"> and</w:t>
      </w:r>
      <w:r w:rsidR="000F75E7">
        <w:rPr>
          <w:rFonts w:ascii="Times New Roman" w:eastAsia="Times New Roman" w:hAnsi="Times New Roman" w:cs="Times New Roman"/>
          <w:sz w:val="24"/>
          <w:szCs w:val="24"/>
          <w:lang w:val="en-GB"/>
        </w:rPr>
        <w:t xml:space="preserve"> </w:t>
      </w:r>
      <w:r w:rsidRPr="41CF0C93">
        <w:rPr>
          <w:rFonts w:ascii="Times New Roman" w:eastAsia="Times New Roman" w:hAnsi="Times New Roman" w:cs="Times New Roman"/>
          <w:sz w:val="24"/>
          <w:szCs w:val="24"/>
          <w:lang w:val="en-GB"/>
        </w:rPr>
        <w:t>a competitive Nordic-Baltic energy market is essential for affordab</w:t>
      </w:r>
      <w:r w:rsidR="008768F5">
        <w:rPr>
          <w:rFonts w:ascii="Times New Roman" w:eastAsia="Times New Roman" w:hAnsi="Times New Roman" w:cs="Times New Roman"/>
          <w:sz w:val="24"/>
          <w:szCs w:val="24"/>
          <w:lang w:val="en-GB"/>
        </w:rPr>
        <w:t>le and reliable access to energy</w:t>
      </w:r>
      <w:r w:rsidRPr="41CF0C93">
        <w:rPr>
          <w:rFonts w:ascii="Times New Roman" w:eastAsia="Times New Roman" w:hAnsi="Times New Roman" w:cs="Times New Roman"/>
          <w:sz w:val="24"/>
          <w:szCs w:val="24"/>
          <w:lang w:val="en-GB"/>
        </w:rPr>
        <w:t>, security of supply</w:t>
      </w:r>
      <w:r w:rsidR="008768F5">
        <w:rPr>
          <w:rFonts w:ascii="Times New Roman" w:eastAsia="Times New Roman" w:hAnsi="Times New Roman" w:cs="Times New Roman"/>
          <w:sz w:val="24"/>
          <w:szCs w:val="24"/>
          <w:lang w:val="en-GB"/>
        </w:rPr>
        <w:t xml:space="preserve"> and</w:t>
      </w:r>
      <w:r w:rsidRPr="41CF0C93">
        <w:rPr>
          <w:rFonts w:ascii="Times New Roman" w:eastAsia="Times New Roman" w:hAnsi="Times New Roman" w:cs="Times New Roman"/>
          <w:sz w:val="24"/>
          <w:szCs w:val="24"/>
          <w:lang w:val="en-GB"/>
        </w:rPr>
        <w:t xml:space="preserve"> industrial development. </w:t>
      </w:r>
      <w:r w:rsidR="00802D2B" w:rsidRPr="41CF0C93">
        <w:rPr>
          <w:rFonts w:ascii="Times New Roman" w:eastAsia="Times New Roman" w:hAnsi="Times New Roman" w:cs="Times New Roman"/>
          <w:sz w:val="24"/>
          <w:szCs w:val="24"/>
          <w:lang w:val="en-GB"/>
        </w:rPr>
        <w:t>The diversity of our energy resources and national energy mixes</w:t>
      </w:r>
      <w:r w:rsidR="00802D2B">
        <w:rPr>
          <w:rFonts w:ascii="Times New Roman" w:eastAsia="Times New Roman" w:hAnsi="Times New Roman" w:cs="Times New Roman"/>
          <w:sz w:val="24"/>
          <w:szCs w:val="24"/>
          <w:lang w:val="en-GB"/>
        </w:rPr>
        <w:t xml:space="preserve"> makes our region resilient and at the forefront of the shift to clean energy</w:t>
      </w:r>
      <w:r w:rsidR="00802D2B" w:rsidRPr="41CF0C93">
        <w:rPr>
          <w:rFonts w:ascii="Times New Roman" w:eastAsia="Times New Roman" w:hAnsi="Times New Roman" w:cs="Times New Roman"/>
          <w:sz w:val="24"/>
          <w:szCs w:val="24"/>
          <w:lang w:val="en-GB"/>
        </w:rPr>
        <w:t>.</w:t>
      </w:r>
    </w:p>
    <w:p w14:paraId="5F509150" w14:textId="15952BA3" w:rsidR="0059509E" w:rsidRPr="00FC2F5C" w:rsidRDefault="006B5A79" w:rsidP="41CF0C93">
      <w:pPr>
        <w:spacing w:line="257" w:lineRule="auto"/>
        <w:jc w:val="both"/>
      </w:pPr>
      <w:r w:rsidRPr="006B5A79">
        <w:rPr>
          <w:rFonts w:ascii="Times New Roman" w:eastAsia="Times New Roman" w:hAnsi="Times New Roman" w:cs="Times New Roman"/>
          <w:sz w:val="24"/>
          <w:szCs w:val="24"/>
        </w:rPr>
        <w:t>In parts of the region, persistent price differences and volatility and grid congestion remain significant challenges</w:t>
      </w:r>
      <w:r w:rsidR="00053E68">
        <w:rPr>
          <w:rFonts w:ascii="Times New Roman" w:eastAsia="Times New Roman" w:hAnsi="Times New Roman" w:cs="Times New Roman"/>
          <w:sz w:val="24"/>
          <w:szCs w:val="24"/>
        </w:rPr>
        <w:t xml:space="preserve"> in the power market</w:t>
      </w:r>
      <w:r w:rsidRPr="006B5A79">
        <w:rPr>
          <w:rFonts w:ascii="Times New Roman" w:eastAsia="Times New Roman" w:hAnsi="Times New Roman" w:cs="Times New Roman"/>
          <w:sz w:val="24"/>
          <w:szCs w:val="24"/>
        </w:rPr>
        <w:t>.</w:t>
      </w:r>
      <w:r w:rsidR="5C8DD92C" w:rsidRPr="41CF0C93">
        <w:rPr>
          <w:rFonts w:ascii="Times New Roman" w:eastAsia="Times New Roman" w:hAnsi="Times New Roman" w:cs="Times New Roman"/>
          <w:sz w:val="24"/>
          <w:szCs w:val="24"/>
          <w:lang w:val="en-GB"/>
        </w:rPr>
        <w:t xml:space="preserve"> Timely investment is required in generation, networks, storage, flexibility and resilient infrastructure. These investment needs also </w:t>
      </w:r>
      <w:r w:rsidR="00802D2B">
        <w:rPr>
          <w:rFonts w:ascii="Times New Roman" w:eastAsia="Times New Roman" w:hAnsi="Times New Roman" w:cs="Times New Roman"/>
          <w:sz w:val="24"/>
          <w:szCs w:val="24"/>
          <w:lang w:val="en-GB"/>
        </w:rPr>
        <w:t xml:space="preserve">represent </w:t>
      </w:r>
      <w:r w:rsidR="5C8DD92C" w:rsidRPr="41CF0C93">
        <w:rPr>
          <w:rFonts w:ascii="Times New Roman" w:eastAsia="Times New Roman" w:hAnsi="Times New Roman" w:cs="Times New Roman"/>
          <w:sz w:val="24"/>
          <w:szCs w:val="24"/>
          <w:lang w:val="en-GB"/>
        </w:rPr>
        <w:t>a major opportunity to boost the economic growth in the region. Greater regional transparency concerning planned generation, major demand projects and grid development can strengthen investment certainty.</w:t>
      </w:r>
    </w:p>
    <w:p w14:paraId="36B6628C" w14:textId="20F4B28A"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We commit to work on solutions that provide investment certainty for investors and debt providers. Market-based investment should remain the starting point where expected revenues provide an adequate return. Long-term commercial agreements, guarantees, regulated investment, public</w:t>
      </w:r>
      <w:r w:rsidR="00802D2B">
        <w:rPr>
          <w:rFonts w:ascii="Times New Roman" w:eastAsia="Times New Roman" w:hAnsi="Times New Roman" w:cs="Times New Roman"/>
          <w:sz w:val="24"/>
          <w:szCs w:val="24"/>
          <w:lang w:val="en-GB"/>
        </w:rPr>
        <w:t xml:space="preserve"> sector</w:t>
      </w:r>
      <w:r w:rsidRPr="41CF0C93">
        <w:rPr>
          <w:rFonts w:ascii="Times New Roman" w:eastAsia="Times New Roman" w:hAnsi="Times New Roman" w:cs="Times New Roman"/>
          <w:sz w:val="24"/>
          <w:szCs w:val="24"/>
          <w:lang w:val="en-GB"/>
        </w:rPr>
        <w:t xml:space="preserve"> or multilateral loans and targeted risk and revenue-sharing mechanisms can help to mobilise capital where market revenues alone are uncertain.</w:t>
      </w:r>
    </w:p>
    <w:p w14:paraId="6B18F0B7" w14:textId="4C9DE6ED"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Regional financing cooperation should remain open to all NB8 countries and combine private investment, national financing, Nordic instruments and, where applicable, European Union funding</w:t>
      </w:r>
      <w:r w:rsidR="009755C8">
        <w:rPr>
          <w:rFonts w:ascii="Times New Roman" w:eastAsia="Times New Roman" w:hAnsi="Times New Roman" w:cs="Times New Roman"/>
          <w:sz w:val="24"/>
          <w:szCs w:val="24"/>
          <w:lang w:val="en-GB"/>
        </w:rPr>
        <w:t xml:space="preserve">, EEA </w:t>
      </w:r>
      <w:r w:rsidR="006B5A79">
        <w:rPr>
          <w:rFonts w:ascii="Times New Roman" w:eastAsia="Times New Roman" w:hAnsi="Times New Roman" w:cs="Times New Roman"/>
          <w:sz w:val="24"/>
          <w:szCs w:val="24"/>
          <w:lang w:val="en-GB"/>
        </w:rPr>
        <w:t>G</w:t>
      </w:r>
      <w:r w:rsidR="009755C8">
        <w:rPr>
          <w:rFonts w:ascii="Times New Roman" w:eastAsia="Times New Roman" w:hAnsi="Times New Roman" w:cs="Times New Roman"/>
          <w:sz w:val="24"/>
          <w:szCs w:val="24"/>
          <w:lang w:val="en-GB"/>
        </w:rPr>
        <w:t>rants</w:t>
      </w:r>
      <w:r w:rsidRPr="41CF0C93">
        <w:rPr>
          <w:rFonts w:ascii="Times New Roman" w:eastAsia="Times New Roman" w:hAnsi="Times New Roman" w:cs="Times New Roman"/>
          <w:sz w:val="24"/>
          <w:szCs w:val="24"/>
          <w:lang w:val="en-GB"/>
        </w:rPr>
        <w:t xml:space="preserve"> and</w:t>
      </w:r>
      <w:r w:rsidR="00802D2B">
        <w:rPr>
          <w:rFonts w:ascii="Times New Roman" w:eastAsia="Times New Roman" w:hAnsi="Times New Roman" w:cs="Times New Roman"/>
          <w:sz w:val="24"/>
          <w:szCs w:val="24"/>
          <w:lang w:val="en-GB"/>
        </w:rPr>
        <w:t xml:space="preserve"> financing from other</w:t>
      </w:r>
      <w:r w:rsidRPr="41CF0C93">
        <w:rPr>
          <w:rFonts w:ascii="Times New Roman" w:eastAsia="Times New Roman" w:hAnsi="Times New Roman" w:cs="Times New Roman"/>
          <w:sz w:val="24"/>
          <w:szCs w:val="24"/>
          <w:lang w:val="en-GB"/>
        </w:rPr>
        <w:t xml:space="preserve"> international financial institutions.</w:t>
      </w:r>
    </w:p>
    <w:p w14:paraId="1F5BE5EC" w14:textId="2CA294C6" w:rsidR="0059509E" w:rsidRPr="00FC2F5C" w:rsidRDefault="5C8DD92C" w:rsidP="41CF0C93">
      <w:pPr>
        <w:spacing w:line="257" w:lineRule="auto"/>
        <w:jc w:val="both"/>
      </w:pPr>
      <w:r w:rsidRPr="41CF0C93">
        <w:rPr>
          <w:rFonts w:ascii="Times New Roman" w:eastAsia="Times New Roman" w:hAnsi="Times New Roman" w:cs="Times New Roman"/>
          <w:sz w:val="24"/>
          <w:szCs w:val="24"/>
          <w:lang w:val="en-GB"/>
        </w:rPr>
        <w:t>Together, we remain committed to translating our shared objectives on energy security, resilience and competitiveness into practical cooperation.</w:t>
      </w:r>
    </w:p>
    <w:p w14:paraId="23F44533" w14:textId="2B58B4D9" w:rsidR="0059509E" w:rsidRPr="00FC2F5C" w:rsidRDefault="0059509E" w:rsidP="41CF0C93">
      <w:pPr>
        <w:jc w:val="both"/>
        <w:rPr>
          <w:rFonts w:ascii="Times New Roman" w:hAnsi="Times New Roman" w:cs="Times New Roman"/>
          <w:sz w:val="24"/>
          <w:szCs w:val="24"/>
          <w:lang w:val="en-GB"/>
        </w:rPr>
      </w:pPr>
    </w:p>
    <w:sectPr w:rsidR="0059509E" w:rsidRPr="00FC2F5C" w:rsidSect="0015469A">
      <w:headerReference w:type="default" r:id="rId8"/>
      <w:pgSz w:w="11906" w:h="16838"/>
      <w:pgMar w:top="1440"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243448" w14:textId="77777777" w:rsidR="00386D7A" w:rsidRDefault="00386D7A">
      <w:pPr>
        <w:spacing w:after="0" w:line="240" w:lineRule="auto"/>
      </w:pPr>
      <w:r>
        <w:separator/>
      </w:r>
    </w:p>
  </w:endnote>
  <w:endnote w:type="continuationSeparator" w:id="0">
    <w:p w14:paraId="564AE4A3" w14:textId="77777777" w:rsidR="00386D7A" w:rsidRDefault="00386D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7EB1B" w14:textId="77777777" w:rsidR="00386D7A" w:rsidRDefault="00386D7A">
      <w:pPr>
        <w:spacing w:after="0" w:line="240" w:lineRule="auto"/>
      </w:pPr>
      <w:r>
        <w:separator/>
      </w:r>
    </w:p>
  </w:footnote>
  <w:footnote w:type="continuationSeparator" w:id="0">
    <w:p w14:paraId="06B49ADC" w14:textId="77777777" w:rsidR="00386D7A" w:rsidRDefault="00386D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2F042" w14:textId="77777777" w:rsidR="0015469A" w:rsidRDefault="0015469A" w:rsidP="00C6723F">
    <w:pPr>
      <w:pStyle w:val="Header"/>
      <w:jc w:val="center"/>
    </w:pPr>
    <w:r>
      <w:rPr>
        <w:noProof/>
      </w:rPr>
      <w:drawing>
        <wp:inline distT="0" distB="0" distL="0" distR="0" wp14:anchorId="3FF62AE6" wp14:editId="61D87E1D">
          <wp:extent cx="1975485" cy="1377950"/>
          <wp:effectExtent l="0" t="0" r="5715" b="0"/>
          <wp:docPr id="6" name="Picture 6">
            <a:extLst xmlns:a="http://schemas.openxmlformats.org/drawingml/2006/main">
              <a:ext uri="{FF2B5EF4-FFF2-40B4-BE49-F238E27FC236}">
                <a16:creationId xmlns:a16="http://schemas.microsoft.com/office/drawing/2014/main" id="{F429DA15-1990-4B8D-A5B7-26FEBF5B45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5485" cy="13779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7721779"/>
    <w:multiLevelType w:val="hybridMultilevel"/>
    <w:tmpl w:val="8468FF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16cid:durableId="15141091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69A"/>
    <w:rsid w:val="00000392"/>
    <w:rsid w:val="00025BC6"/>
    <w:rsid w:val="00025CB4"/>
    <w:rsid w:val="000362C9"/>
    <w:rsid w:val="0004593E"/>
    <w:rsid w:val="00053E68"/>
    <w:rsid w:val="00072C2D"/>
    <w:rsid w:val="00095167"/>
    <w:rsid w:val="000B1D4C"/>
    <w:rsid w:val="000B5232"/>
    <w:rsid w:val="000F10F3"/>
    <w:rsid w:val="000F75E7"/>
    <w:rsid w:val="001157F7"/>
    <w:rsid w:val="001165A7"/>
    <w:rsid w:val="00123D0D"/>
    <w:rsid w:val="00135201"/>
    <w:rsid w:val="0015469A"/>
    <w:rsid w:val="00180E65"/>
    <w:rsid w:val="00182ECD"/>
    <w:rsid w:val="00185D06"/>
    <w:rsid w:val="001B0781"/>
    <w:rsid w:val="001C33DA"/>
    <w:rsid w:val="001C4AE8"/>
    <w:rsid w:val="001E011E"/>
    <w:rsid w:val="001E7C6E"/>
    <w:rsid w:val="0021039E"/>
    <w:rsid w:val="0021079C"/>
    <w:rsid w:val="002219E0"/>
    <w:rsid w:val="002227BB"/>
    <w:rsid w:val="002A5ED8"/>
    <w:rsid w:val="002B196E"/>
    <w:rsid w:val="002D1AF8"/>
    <w:rsid w:val="002D1D79"/>
    <w:rsid w:val="002D25EF"/>
    <w:rsid w:val="002D4CD3"/>
    <w:rsid w:val="002E1019"/>
    <w:rsid w:val="002E6EF9"/>
    <w:rsid w:val="00312CD6"/>
    <w:rsid w:val="00314C5F"/>
    <w:rsid w:val="00317CB3"/>
    <w:rsid w:val="00332325"/>
    <w:rsid w:val="003413B7"/>
    <w:rsid w:val="0037178F"/>
    <w:rsid w:val="00385EC0"/>
    <w:rsid w:val="00386D7A"/>
    <w:rsid w:val="003933D3"/>
    <w:rsid w:val="003A0FBB"/>
    <w:rsid w:val="003A20F2"/>
    <w:rsid w:val="003B4A3D"/>
    <w:rsid w:val="003C2A33"/>
    <w:rsid w:val="003C41A0"/>
    <w:rsid w:val="003E2DC9"/>
    <w:rsid w:val="00416FA0"/>
    <w:rsid w:val="004237A2"/>
    <w:rsid w:val="0043117F"/>
    <w:rsid w:val="004321D8"/>
    <w:rsid w:val="00454697"/>
    <w:rsid w:val="00480531"/>
    <w:rsid w:val="004B2607"/>
    <w:rsid w:val="004D4FE6"/>
    <w:rsid w:val="004D762E"/>
    <w:rsid w:val="004F6B78"/>
    <w:rsid w:val="004F73D0"/>
    <w:rsid w:val="00500DC2"/>
    <w:rsid w:val="00506B53"/>
    <w:rsid w:val="00511D8B"/>
    <w:rsid w:val="0051301E"/>
    <w:rsid w:val="0051392D"/>
    <w:rsid w:val="00513EA4"/>
    <w:rsid w:val="00516E80"/>
    <w:rsid w:val="00526835"/>
    <w:rsid w:val="00556A15"/>
    <w:rsid w:val="005658D8"/>
    <w:rsid w:val="00566BAC"/>
    <w:rsid w:val="0059509E"/>
    <w:rsid w:val="005C3724"/>
    <w:rsid w:val="005C3952"/>
    <w:rsid w:val="005E3F54"/>
    <w:rsid w:val="005F7F48"/>
    <w:rsid w:val="00602B09"/>
    <w:rsid w:val="00611F86"/>
    <w:rsid w:val="00617211"/>
    <w:rsid w:val="006202E5"/>
    <w:rsid w:val="00633731"/>
    <w:rsid w:val="00634402"/>
    <w:rsid w:val="00634E27"/>
    <w:rsid w:val="00647379"/>
    <w:rsid w:val="00657F99"/>
    <w:rsid w:val="00661EDB"/>
    <w:rsid w:val="00670C4C"/>
    <w:rsid w:val="00672920"/>
    <w:rsid w:val="006815C2"/>
    <w:rsid w:val="0068795C"/>
    <w:rsid w:val="006B5A79"/>
    <w:rsid w:val="006C0B79"/>
    <w:rsid w:val="006C3D25"/>
    <w:rsid w:val="006C5033"/>
    <w:rsid w:val="006D0525"/>
    <w:rsid w:val="006E0FEB"/>
    <w:rsid w:val="006E6E40"/>
    <w:rsid w:val="006F06E9"/>
    <w:rsid w:val="0070383B"/>
    <w:rsid w:val="00725ABE"/>
    <w:rsid w:val="00743B08"/>
    <w:rsid w:val="007B75F4"/>
    <w:rsid w:val="007C0959"/>
    <w:rsid w:val="007C4977"/>
    <w:rsid w:val="007E1DFB"/>
    <w:rsid w:val="00802D2B"/>
    <w:rsid w:val="0080795D"/>
    <w:rsid w:val="008303E7"/>
    <w:rsid w:val="00853E75"/>
    <w:rsid w:val="008546DC"/>
    <w:rsid w:val="008636D2"/>
    <w:rsid w:val="008768F5"/>
    <w:rsid w:val="00884F4E"/>
    <w:rsid w:val="00884F9C"/>
    <w:rsid w:val="00886842"/>
    <w:rsid w:val="008C04DB"/>
    <w:rsid w:val="008E05D3"/>
    <w:rsid w:val="008E1831"/>
    <w:rsid w:val="008E53AD"/>
    <w:rsid w:val="008F2F1F"/>
    <w:rsid w:val="008F4F24"/>
    <w:rsid w:val="00901627"/>
    <w:rsid w:val="009138EA"/>
    <w:rsid w:val="0091462C"/>
    <w:rsid w:val="00932372"/>
    <w:rsid w:val="009514E3"/>
    <w:rsid w:val="009523E6"/>
    <w:rsid w:val="00957718"/>
    <w:rsid w:val="00971BB2"/>
    <w:rsid w:val="009755C8"/>
    <w:rsid w:val="009779DA"/>
    <w:rsid w:val="00983603"/>
    <w:rsid w:val="0099165E"/>
    <w:rsid w:val="009C0106"/>
    <w:rsid w:val="009C4D06"/>
    <w:rsid w:val="009E2A88"/>
    <w:rsid w:val="009E6F12"/>
    <w:rsid w:val="009F6245"/>
    <w:rsid w:val="00A07C36"/>
    <w:rsid w:val="00A3002F"/>
    <w:rsid w:val="00A46E63"/>
    <w:rsid w:val="00A5344E"/>
    <w:rsid w:val="00A82823"/>
    <w:rsid w:val="00A90914"/>
    <w:rsid w:val="00A92FC9"/>
    <w:rsid w:val="00A9582A"/>
    <w:rsid w:val="00AA7610"/>
    <w:rsid w:val="00AA7B34"/>
    <w:rsid w:val="00AB4022"/>
    <w:rsid w:val="00AB4EC6"/>
    <w:rsid w:val="00AE734C"/>
    <w:rsid w:val="00B11057"/>
    <w:rsid w:val="00B257F7"/>
    <w:rsid w:val="00B3789B"/>
    <w:rsid w:val="00B63964"/>
    <w:rsid w:val="00B6537F"/>
    <w:rsid w:val="00B70F4A"/>
    <w:rsid w:val="00B71890"/>
    <w:rsid w:val="00B73AC2"/>
    <w:rsid w:val="00B751D0"/>
    <w:rsid w:val="00B77C2F"/>
    <w:rsid w:val="00B860C0"/>
    <w:rsid w:val="00BA1412"/>
    <w:rsid w:val="00BA7290"/>
    <w:rsid w:val="00BC717E"/>
    <w:rsid w:val="00BD08BF"/>
    <w:rsid w:val="00BD384D"/>
    <w:rsid w:val="00BF7A26"/>
    <w:rsid w:val="00C0142D"/>
    <w:rsid w:val="00C10FD1"/>
    <w:rsid w:val="00C32505"/>
    <w:rsid w:val="00C3429C"/>
    <w:rsid w:val="00C47CD2"/>
    <w:rsid w:val="00C6723F"/>
    <w:rsid w:val="00C77718"/>
    <w:rsid w:val="00C92FF1"/>
    <w:rsid w:val="00C94FBA"/>
    <w:rsid w:val="00CC1A93"/>
    <w:rsid w:val="00CC48B6"/>
    <w:rsid w:val="00CC55B5"/>
    <w:rsid w:val="00CC6898"/>
    <w:rsid w:val="00CC7094"/>
    <w:rsid w:val="00CD26AA"/>
    <w:rsid w:val="00CE6098"/>
    <w:rsid w:val="00D25B98"/>
    <w:rsid w:val="00D33F5B"/>
    <w:rsid w:val="00D63195"/>
    <w:rsid w:val="00D64CA8"/>
    <w:rsid w:val="00D83724"/>
    <w:rsid w:val="00DA5B01"/>
    <w:rsid w:val="00DB1F57"/>
    <w:rsid w:val="00DC58D1"/>
    <w:rsid w:val="00DD48FB"/>
    <w:rsid w:val="00DD5883"/>
    <w:rsid w:val="00DE362E"/>
    <w:rsid w:val="00DE7A44"/>
    <w:rsid w:val="00E031F7"/>
    <w:rsid w:val="00E110D8"/>
    <w:rsid w:val="00E12AC1"/>
    <w:rsid w:val="00E247C4"/>
    <w:rsid w:val="00E419CD"/>
    <w:rsid w:val="00E47B03"/>
    <w:rsid w:val="00E536FA"/>
    <w:rsid w:val="00E64BB9"/>
    <w:rsid w:val="00E7498F"/>
    <w:rsid w:val="00E75511"/>
    <w:rsid w:val="00EC1DE9"/>
    <w:rsid w:val="00EC40D6"/>
    <w:rsid w:val="00EE6A9E"/>
    <w:rsid w:val="00EF3564"/>
    <w:rsid w:val="00F001AD"/>
    <w:rsid w:val="00F17757"/>
    <w:rsid w:val="00F2405F"/>
    <w:rsid w:val="00F33C9F"/>
    <w:rsid w:val="00F41D75"/>
    <w:rsid w:val="00F601EB"/>
    <w:rsid w:val="00F74B9D"/>
    <w:rsid w:val="00F86C58"/>
    <w:rsid w:val="00FC2F5C"/>
    <w:rsid w:val="00FC39FE"/>
    <w:rsid w:val="00FF617F"/>
    <w:rsid w:val="0492B1FC"/>
    <w:rsid w:val="16832CBA"/>
    <w:rsid w:val="1B9B4BCE"/>
    <w:rsid w:val="1BB334B1"/>
    <w:rsid w:val="2612AB0B"/>
    <w:rsid w:val="2DD9CD40"/>
    <w:rsid w:val="41CF0C93"/>
    <w:rsid w:val="455F0ADA"/>
    <w:rsid w:val="57729EC2"/>
    <w:rsid w:val="592275EA"/>
    <w:rsid w:val="5C8DD92C"/>
    <w:rsid w:val="72193162"/>
    <w:rsid w:val="7362CB0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62E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t-E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69A"/>
    <w:pPr>
      <w:spacing w:line="259" w:lineRule="auto"/>
    </w:pPr>
    <w:rPr>
      <w:kern w:val="0"/>
      <w:sz w:val="22"/>
      <w:szCs w:val="22"/>
      <w:lang w:val="en-US"/>
      <w14:ligatures w14:val="none"/>
    </w:rPr>
  </w:style>
  <w:style w:type="paragraph" w:styleId="Heading1">
    <w:name w:val="heading 1"/>
    <w:basedOn w:val="Normal"/>
    <w:next w:val="Normal"/>
    <w:link w:val="Heading1Char"/>
    <w:uiPriority w:val="9"/>
    <w:qFormat/>
    <w:rsid w:val="001546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46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46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46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46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46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46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46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46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469A"/>
    <w:rPr>
      <w:rFonts w:asciiTheme="majorHAnsi" w:eastAsiaTheme="majorEastAsia" w:hAnsiTheme="majorHAnsi" w:cstheme="majorBidi"/>
      <w:color w:val="0F4761" w:themeColor="accent1" w:themeShade="BF"/>
      <w:sz w:val="40"/>
      <w:szCs w:val="40"/>
      <w:lang w:val="en-US"/>
    </w:rPr>
  </w:style>
  <w:style w:type="character" w:customStyle="1" w:styleId="Heading2Char">
    <w:name w:val="Heading 2 Char"/>
    <w:basedOn w:val="DefaultParagraphFont"/>
    <w:link w:val="Heading2"/>
    <w:uiPriority w:val="9"/>
    <w:semiHidden/>
    <w:rsid w:val="0015469A"/>
    <w:rPr>
      <w:rFonts w:asciiTheme="majorHAnsi" w:eastAsiaTheme="majorEastAsia" w:hAnsiTheme="majorHAnsi" w:cstheme="majorBidi"/>
      <w:color w:val="0F4761" w:themeColor="accent1" w:themeShade="BF"/>
      <w:sz w:val="32"/>
      <w:szCs w:val="32"/>
      <w:lang w:val="en-US"/>
    </w:rPr>
  </w:style>
  <w:style w:type="character" w:customStyle="1" w:styleId="Heading3Char">
    <w:name w:val="Heading 3 Char"/>
    <w:basedOn w:val="DefaultParagraphFont"/>
    <w:link w:val="Heading3"/>
    <w:uiPriority w:val="9"/>
    <w:semiHidden/>
    <w:rsid w:val="0015469A"/>
    <w:rPr>
      <w:rFonts w:eastAsiaTheme="majorEastAsia" w:cstheme="majorBidi"/>
      <w:color w:val="0F4761" w:themeColor="accent1" w:themeShade="BF"/>
      <w:sz w:val="28"/>
      <w:szCs w:val="28"/>
      <w:lang w:val="en-US"/>
    </w:rPr>
  </w:style>
  <w:style w:type="character" w:customStyle="1" w:styleId="Heading4Char">
    <w:name w:val="Heading 4 Char"/>
    <w:basedOn w:val="DefaultParagraphFont"/>
    <w:link w:val="Heading4"/>
    <w:uiPriority w:val="9"/>
    <w:semiHidden/>
    <w:rsid w:val="0015469A"/>
    <w:rPr>
      <w:rFonts w:eastAsiaTheme="majorEastAsia" w:cstheme="majorBidi"/>
      <w:i/>
      <w:iCs/>
      <w:color w:val="0F4761" w:themeColor="accent1" w:themeShade="BF"/>
      <w:lang w:val="en-US"/>
    </w:rPr>
  </w:style>
  <w:style w:type="character" w:customStyle="1" w:styleId="Heading5Char">
    <w:name w:val="Heading 5 Char"/>
    <w:basedOn w:val="DefaultParagraphFont"/>
    <w:link w:val="Heading5"/>
    <w:uiPriority w:val="9"/>
    <w:semiHidden/>
    <w:rsid w:val="0015469A"/>
    <w:rPr>
      <w:rFonts w:eastAsiaTheme="majorEastAsia" w:cstheme="majorBidi"/>
      <w:color w:val="0F4761" w:themeColor="accent1" w:themeShade="BF"/>
      <w:lang w:val="en-US"/>
    </w:rPr>
  </w:style>
  <w:style w:type="character" w:customStyle="1" w:styleId="Heading6Char">
    <w:name w:val="Heading 6 Char"/>
    <w:basedOn w:val="DefaultParagraphFont"/>
    <w:link w:val="Heading6"/>
    <w:uiPriority w:val="9"/>
    <w:semiHidden/>
    <w:rsid w:val="0015469A"/>
    <w:rPr>
      <w:rFonts w:eastAsiaTheme="majorEastAsia" w:cstheme="majorBidi"/>
      <w:i/>
      <w:iCs/>
      <w:color w:val="595959" w:themeColor="text1" w:themeTint="A6"/>
      <w:lang w:val="en-US"/>
    </w:rPr>
  </w:style>
  <w:style w:type="character" w:customStyle="1" w:styleId="Heading7Char">
    <w:name w:val="Heading 7 Char"/>
    <w:basedOn w:val="DefaultParagraphFont"/>
    <w:link w:val="Heading7"/>
    <w:uiPriority w:val="9"/>
    <w:semiHidden/>
    <w:rsid w:val="0015469A"/>
    <w:rPr>
      <w:rFonts w:eastAsiaTheme="majorEastAsia" w:cstheme="majorBidi"/>
      <w:color w:val="595959" w:themeColor="text1" w:themeTint="A6"/>
      <w:lang w:val="en-US"/>
    </w:rPr>
  </w:style>
  <w:style w:type="character" w:customStyle="1" w:styleId="Heading8Char">
    <w:name w:val="Heading 8 Char"/>
    <w:basedOn w:val="DefaultParagraphFont"/>
    <w:link w:val="Heading8"/>
    <w:uiPriority w:val="9"/>
    <w:semiHidden/>
    <w:rsid w:val="0015469A"/>
    <w:rPr>
      <w:rFonts w:eastAsiaTheme="majorEastAsia" w:cstheme="majorBidi"/>
      <w:i/>
      <w:iCs/>
      <w:color w:val="272727" w:themeColor="text1" w:themeTint="D8"/>
      <w:lang w:val="en-US"/>
    </w:rPr>
  </w:style>
  <w:style w:type="character" w:customStyle="1" w:styleId="Heading9Char">
    <w:name w:val="Heading 9 Char"/>
    <w:basedOn w:val="DefaultParagraphFont"/>
    <w:link w:val="Heading9"/>
    <w:uiPriority w:val="9"/>
    <w:semiHidden/>
    <w:rsid w:val="0015469A"/>
    <w:rPr>
      <w:rFonts w:eastAsiaTheme="majorEastAsia" w:cstheme="majorBidi"/>
      <w:color w:val="272727" w:themeColor="text1" w:themeTint="D8"/>
      <w:lang w:val="en-US"/>
    </w:rPr>
  </w:style>
  <w:style w:type="paragraph" w:styleId="Title">
    <w:name w:val="Title"/>
    <w:basedOn w:val="Normal"/>
    <w:next w:val="Normal"/>
    <w:link w:val="TitleChar"/>
    <w:uiPriority w:val="10"/>
    <w:qFormat/>
    <w:rsid w:val="001546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469A"/>
    <w:rPr>
      <w:rFonts w:asciiTheme="majorHAnsi" w:eastAsiaTheme="majorEastAsia" w:hAnsiTheme="majorHAnsi" w:cstheme="majorBidi"/>
      <w:spacing w:val="-10"/>
      <w:kern w:val="28"/>
      <w:sz w:val="56"/>
      <w:szCs w:val="56"/>
      <w:lang w:val="en-US"/>
    </w:rPr>
  </w:style>
  <w:style w:type="paragraph" w:styleId="Subtitle">
    <w:name w:val="Subtitle"/>
    <w:basedOn w:val="Normal"/>
    <w:next w:val="Normal"/>
    <w:link w:val="SubtitleChar"/>
    <w:uiPriority w:val="11"/>
    <w:qFormat/>
    <w:rsid w:val="001546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469A"/>
    <w:rPr>
      <w:rFonts w:eastAsiaTheme="majorEastAsia" w:cstheme="majorBidi"/>
      <w:color w:val="595959" w:themeColor="text1" w:themeTint="A6"/>
      <w:spacing w:val="15"/>
      <w:sz w:val="28"/>
      <w:szCs w:val="28"/>
      <w:lang w:val="en-US"/>
    </w:rPr>
  </w:style>
  <w:style w:type="paragraph" w:styleId="Quote">
    <w:name w:val="Quote"/>
    <w:basedOn w:val="Normal"/>
    <w:next w:val="Normal"/>
    <w:link w:val="QuoteChar"/>
    <w:uiPriority w:val="29"/>
    <w:qFormat/>
    <w:rsid w:val="0015469A"/>
    <w:pPr>
      <w:spacing w:before="160"/>
      <w:jc w:val="center"/>
    </w:pPr>
    <w:rPr>
      <w:i/>
      <w:iCs/>
      <w:color w:val="404040" w:themeColor="text1" w:themeTint="BF"/>
    </w:rPr>
  </w:style>
  <w:style w:type="character" w:customStyle="1" w:styleId="QuoteChar">
    <w:name w:val="Quote Char"/>
    <w:basedOn w:val="DefaultParagraphFont"/>
    <w:link w:val="Quote"/>
    <w:uiPriority w:val="29"/>
    <w:rsid w:val="0015469A"/>
    <w:rPr>
      <w:i/>
      <w:iCs/>
      <w:color w:val="404040" w:themeColor="text1" w:themeTint="BF"/>
      <w:lang w:val="en-US"/>
    </w:rPr>
  </w:style>
  <w:style w:type="paragraph" w:styleId="ListParagraph">
    <w:name w:val="List Paragraph"/>
    <w:basedOn w:val="Normal"/>
    <w:uiPriority w:val="34"/>
    <w:qFormat/>
    <w:rsid w:val="0015469A"/>
    <w:pPr>
      <w:ind w:left="720"/>
      <w:contextualSpacing/>
    </w:pPr>
  </w:style>
  <w:style w:type="character" w:styleId="IntenseEmphasis">
    <w:name w:val="Intense Emphasis"/>
    <w:basedOn w:val="DefaultParagraphFont"/>
    <w:uiPriority w:val="21"/>
    <w:qFormat/>
    <w:rsid w:val="0015469A"/>
    <w:rPr>
      <w:i/>
      <w:iCs/>
      <w:color w:val="0F4761" w:themeColor="accent1" w:themeShade="BF"/>
    </w:rPr>
  </w:style>
  <w:style w:type="paragraph" w:styleId="IntenseQuote">
    <w:name w:val="Intense Quote"/>
    <w:basedOn w:val="Normal"/>
    <w:next w:val="Normal"/>
    <w:link w:val="IntenseQuoteChar"/>
    <w:uiPriority w:val="30"/>
    <w:qFormat/>
    <w:rsid w:val="001546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469A"/>
    <w:rPr>
      <w:i/>
      <w:iCs/>
      <w:color w:val="0F4761" w:themeColor="accent1" w:themeShade="BF"/>
      <w:lang w:val="en-US"/>
    </w:rPr>
  </w:style>
  <w:style w:type="character" w:styleId="IntenseReference">
    <w:name w:val="Intense Reference"/>
    <w:basedOn w:val="DefaultParagraphFont"/>
    <w:uiPriority w:val="32"/>
    <w:qFormat/>
    <w:rsid w:val="0015469A"/>
    <w:rPr>
      <w:b/>
      <w:bCs/>
      <w:smallCaps/>
      <w:color w:val="0F4761" w:themeColor="accent1" w:themeShade="BF"/>
      <w:spacing w:val="5"/>
    </w:rPr>
  </w:style>
  <w:style w:type="paragraph" w:styleId="Header">
    <w:name w:val="header"/>
    <w:basedOn w:val="Normal"/>
    <w:link w:val="HeaderChar"/>
    <w:uiPriority w:val="99"/>
    <w:unhideWhenUsed/>
    <w:rsid w:val="0015469A"/>
    <w:pPr>
      <w:tabs>
        <w:tab w:val="center" w:pos="4536"/>
        <w:tab w:val="right" w:pos="9072"/>
      </w:tabs>
      <w:spacing w:after="0" w:line="240" w:lineRule="auto"/>
    </w:pPr>
  </w:style>
  <w:style w:type="character" w:customStyle="1" w:styleId="HeaderChar">
    <w:name w:val="Header Char"/>
    <w:basedOn w:val="DefaultParagraphFont"/>
    <w:link w:val="Header"/>
    <w:uiPriority w:val="99"/>
    <w:rsid w:val="0015469A"/>
    <w:rPr>
      <w:kern w:val="0"/>
      <w:sz w:val="22"/>
      <w:szCs w:val="22"/>
      <w:lang w:val="en-US"/>
      <w14:ligatures w14:val="none"/>
    </w:rPr>
  </w:style>
  <w:style w:type="paragraph" w:styleId="Footer">
    <w:name w:val="footer"/>
    <w:basedOn w:val="Normal"/>
    <w:link w:val="FooterChar"/>
    <w:uiPriority w:val="99"/>
    <w:unhideWhenUsed/>
    <w:rsid w:val="004F6B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B78"/>
    <w:rPr>
      <w:kern w:val="0"/>
      <w:sz w:val="22"/>
      <w:szCs w:val="22"/>
      <w:lang w:val="en-US"/>
      <w14:ligatures w14:val="none"/>
    </w:rPr>
  </w:style>
  <w:style w:type="paragraph" w:styleId="CommentText">
    <w:name w:val="annotation text"/>
    <w:basedOn w:val="Normal"/>
    <w:link w:val="CommentTextChar"/>
    <w:uiPriority w:val="99"/>
    <w:unhideWhenUsed/>
    <w:rsid w:val="002D25EF"/>
    <w:pPr>
      <w:spacing w:line="240" w:lineRule="auto"/>
    </w:pPr>
    <w:rPr>
      <w:sz w:val="20"/>
      <w:szCs w:val="20"/>
    </w:rPr>
  </w:style>
  <w:style w:type="character" w:customStyle="1" w:styleId="CommentTextChar">
    <w:name w:val="Comment Text Char"/>
    <w:basedOn w:val="DefaultParagraphFont"/>
    <w:link w:val="CommentText"/>
    <w:uiPriority w:val="99"/>
    <w:rsid w:val="002D25EF"/>
    <w:rPr>
      <w:kern w:val="0"/>
      <w:sz w:val="20"/>
      <w:szCs w:val="20"/>
      <w:lang w:val="en-US"/>
      <w14:ligatures w14:val="none"/>
    </w:rPr>
  </w:style>
  <w:style w:type="character" w:styleId="CommentReference">
    <w:name w:val="annotation reference"/>
    <w:basedOn w:val="DefaultParagraphFont"/>
    <w:uiPriority w:val="99"/>
    <w:semiHidden/>
    <w:unhideWhenUsed/>
    <w:rsid w:val="002D25EF"/>
    <w:rPr>
      <w:sz w:val="16"/>
      <w:szCs w:val="16"/>
    </w:rPr>
  </w:style>
  <w:style w:type="paragraph" w:styleId="Revision">
    <w:name w:val="Revision"/>
    <w:hidden/>
    <w:uiPriority w:val="99"/>
    <w:semiHidden/>
    <w:rsid w:val="008768F5"/>
    <w:pPr>
      <w:spacing w:after="0" w:line="240" w:lineRule="auto"/>
    </w:pPr>
    <w:rPr>
      <w:kern w:val="0"/>
      <w:sz w:val="22"/>
      <w:szCs w:val="22"/>
      <w:lang w:val="en-US"/>
      <w14:ligatures w14:val="none"/>
    </w:rPr>
  </w:style>
  <w:style w:type="paragraph" w:styleId="CommentSubject">
    <w:name w:val="annotation subject"/>
    <w:basedOn w:val="CommentText"/>
    <w:next w:val="CommentText"/>
    <w:link w:val="CommentSubjectChar"/>
    <w:uiPriority w:val="99"/>
    <w:semiHidden/>
    <w:unhideWhenUsed/>
    <w:rsid w:val="008768F5"/>
    <w:rPr>
      <w:b/>
      <w:bCs/>
    </w:rPr>
  </w:style>
  <w:style w:type="character" w:customStyle="1" w:styleId="CommentSubjectChar">
    <w:name w:val="Comment Subject Char"/>
    <w:basedOn w:val="CommentTextChar"/>
    <w:link w:val="CommentSubject"/>
    <w:uiPriority w:val="99"/>
    <w:semiHidden/>
    <w:rsid w:val="008768F5"/>
    <w:rPr>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9D1D0-78C6-4F1C-9ED0-3042EE963006}">
  <ds:schemaRefs>
    <ds:schemaRef ds:uri="http://schemas.openxmlformats.org/officeDocument/2006/bibliography"/>
  </ds:schemaRefs>
</ds:datastoreItem>
</file>

<file path=docMetadata/LabelInfo.xml><?xml version="1.0" encoding="utf-8"?>
<clbl:labelList xmlns:clbl="http://schemas.microsoft.com/office/2020/mipLabelMetadata">
  <clbl:label id="{8fe098d2-428d-4bd4-9803-7195fe96f0e2}" enabled="0" method="" siteId="{8fe098d2-428d-4bd4-9803-7195fe96f0e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809</Words>
  <Characters>5047</Characters>
  <Application>Microsoft Office Word</Application>
  <DocSecurity>0</DocSecurity>
  <Lines>73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2026-09-02T11:37:00Z</dcterms:created>
  <dcterms:modified xsi:type="dcterms:W3CDTF">2026-09-02T11:37:00Z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2026-09-02T11:36:49Z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b8a2bfd0-f705-4fde-b2a2-4e57dde351d1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